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402" w:leader="none"/>
        </w:tabs>
        <w:spacing w:lineRule="auto" w:line="240"/>
        <w:jc w:val="center"/>
        <w:rPr>
          <w:b/>
          <w:b/>
          <w:sz w:val="32"/>
        </w:rPr>
      </w:pPr>
      <w:r>
        <w:rPr>
          <w:b/>
          <w:sz w:val="32"/>
        </w:rPr>
        <w:t>Antrag der Fraktion</w:t>
      </w:r>
    </w:p>
    <w:p>
      <w:pPr>
        <w:pStyle w:val="Normal"/>
        <w:tabs>
          <w:tab w:val="clear" w:pos="708"/>
          <w:tab w:val="left" w:pos="3402" w:leader="none"/>
        </w:tabs>
        <w:spacing w:lineRule="auto" w:line="240"/>
        <w:jc w:val="center"/>
        <w:rPr>
          <w:b/>
          <w:b/>
          <w:sz w:val="32"/>
        </w:rPr>
      </w:pPr>
      <w:r>
        <w:rPr>
          <w:b/>
          <w:sz w:val="32"/>
        </w:rPr>
        <w:t>Bündnis 90/Die GRÜNEN im Rat der Stadt Duisburg</w:t>
        <w:br/>
      </w:r>
    </w:p>
    <w:p>
      <w:pPr>
        <w:pStyle w:val="Normal"/>
        <w:tabs>
          <w:tab w:val="clear" w:pos="708"/>
          <w:tab w:val="left" w:pos="3402" w:leader="none"/>
        </w:tabs>
        <w:spacing w:lineRule="auto" w:line="240"/>
        <w:rPr>
          <w:rFonts w:ascii="Arial" w:hAnsi="Arial"/>
          <w:b/>
          <w:b/>
          <w:sz w:val="32"/>
        </w:rPr>
      </w:pPr>
      <w:r>
        <w:rPr>
          <w:b/>
          <w:sz w:val="32"/>
        </w:rPr>
      </w:r>
    </w:p>
    <w:p>
      <w:pPr>
        <w:pStyle w:val="Normal"/>
        <w:tabs>
          <w:tab w:val="clear" w:pos="708"/>
          <w:tab w:val="left" w:pos="3402" w:leader="none"/>
        </w:tabs>
        <w:spacing w:lineRule="auto" w:line="240"/>
        <w:rPr>
          <w:rFonts w:ascii="Arial" w:hAnsi="Arial"/>
          <w:b/>
          <w:b/>
          <w:sz w:val="32"/>
        </w:rPr>
      </w:pPr>
      <w:r>
        <w:rPr>
          <w:b/>
          <w:sz w:val="32"/>
        </w:rPr>
      </w:r>
    </w:p>
    <w:tbl>
      <w:tblPr>
        <w:tblW w:w="9164" w:type="dxa"/>
        <w:jc w:val="left"/>
        <w:tblInd w:w="-5" w:type="dxa"/>
        <w:tblCellMar>
          <w:top w:w="0" w:type="dxa"/>
          <w:left w:w="70" w:type="dxa"/>
          <w:bottom w:w="0" w:type="dxa"/>
          <w:right w:w="70" w:type="dxa"/>
        </w:tblCellMar>
        <w:tblLook w:firstRow="0" w:noVBand="0" w:lastRow="0" w:firstColumn="0" w:lastColumn="0" w:noHBand="0" w:val="0000"/>
      </w:tblPr>
      <w:tblGrid>
        <w:gridCol w:w="3333"/>
        <w:gridCol w:w="3260"/>
        <w:gridCol w:w="2571"/>
      </w:tblGrid>
      <w:tr>
        <w:trPr>
          <w:trHeight w:val="530" w:hRule="atLeast"/>
        </w:trPr>
        <w:tc>
          <w:tcPr>
            <w:tcW w:w="3333" w:type="dxa"/>
            <w:tcBorders>
              <w:top w:val="single" w:sz="4" w:space="0" w:color="000000"/>
              <w:left w:val="single" w:sz="4" w:space="0" w:color="000000"/>
            </w:tcBorders>
            <w:shd w:color="auto" w:fill="auto" w:val="clear"/>
          </w:tcPr>
          <w:p>
            <w:pPr>
              <w:pStyle w:val="Normal"/>
              <w:snapToGrid w:val="false"/>
              <w:spacing w:lineRule="auto" w:line="240" w:before="120" w:after="120"/>
              <w:rPr>
                <w:b/>
                <w:b/>
                <w:sz w:val="24"/>
                <w:szCs w:val="24"/>
              </w:rPr>
            </w:pPr>
            <w:r>
              <w:rPr>
                <w:b/>
                <w:sz w:val="24"/>
                <w:szCs w:val="24"/>
              </w:rPr>
              <w:t>Zur Sitzung</w:t>
            </w:r>
          </w:p>
        </w:tc>
        <w:tc>
          <w:tcPr>
            <w:tcW w:w="3260" w:type="dxa"/>
            <w:tcBorders>
              <w:top w:val="single" w:sz="4" w:space="0" w:color="000000"/>
              <w:left w:val="single" w:sz="4" w:space="0" w:color="000000"/>
            </w:tcBorders>
            <w:shd w:color="auto" w:fill="auto" w:val="clear"/>
          </w:tcPr>
          <w:p>
            <w:pPr>
              <w:pStyle w:val="Kopfzeile"/>
              <w:tabs>
                <w:tab w:val="clear" w:pos="4536"/>
                <w:tab w:val="clear" w:pos="9072"/>
              </w:tabs>
              <w:snapToGrid w:val="false"/>
              <w:spacing w:lineRule="auto" w:line="240" w:before="120" w:after="120"/>
              <w:rPr>
                <w:b/>
                <w:b/>
                <w:sz w:val="24"/>
                <w:szCs w:val="24"/>
              </w:rPr>
            </w:pPr>
            <w:r>
              <w:rPr>
                <w:b/>
                <w:sz w:val="24"/>
                <w:szCs w:val="24"/>
              </w:rPr>
              <w:t>Sitzungstermin</w:t>
            </w:r>
          </w:p>
        </w:tc>
        <w:tc>
          <w:tcPr>
            <w:tcW w:w="2571" w:type="dxa"/>
            <w:tcBorders>
              <w:top w:val="single" w:sz="4" w:space="0" w:color="000000"/>
              <w:left w:val="single" w:sz="4" w:space="0" w:color="000000"/>
              <w:right w:val="single" w:sz="4" w:space="0" w:color="000000"/>
            </w:tcBorders>
            <w:shd w:color="auto" w:fill="auto" w:val="clear"/>
          </w:tcPr>
          <w:p>
            <w:pPr>
              <w:pStyle w:val="Normal"/>
              <w:snapToGrid w:val="false"/>
              <w:spacing w:lineRule="auto" w:line="240" w:before="120" w:after="120"/>
              <w:ind w:left="-10" w:right="395" w:hanging="0"/>
              <w:rPr>
                <w:sz w:val="24"/>
                <w:szCs w:val="24"/>
              </w:rPr>
            </w:pPr>
            <w:r>
              <w:rPr>
                <w:b/>
                <w:sz w:val="24"/>
                <w:szCs w:val="24"/>
              </w:rPr>
              <w:t>Behandlung</w:t>
            </w:r>
          </w:p>
        </w:tc>
      </w:tr>
      <w:tr>
        <w:trPr/>
        <w:tc>
          <w:tcPr>
            <w:tcW w:w="3333" w:type="dxa"/>
            <w:tcBorders>
              <w:left w:val="single" w:sz="4" w:space="0" w:color="000000"/>
              <w:bottom w:val="single" w:sz="4" w:space="0" w:color="000000"/>
            </w:tcBorders>
            <w:shd w:color="auto" w:fill="auto" w:val="clear"/>
          </w:tcPr>
          <w:p>
            <w:pPr>
              <w:pStyle w:val="Normal"/>
              <w:snapToGrid w:val="false"/>
              <w:spacing w:lineRule="auto" w:line="240"/>
              <w:rPr/>
            </w:pPr>
            <w:r>
              <w:rPr>
                <w:b w:val="false"/>
                <w:bCs w:val="false"/>
                <w:sz w:val="24"/>
                <w:szCs w:val="24"/>
                <w:u w:val="none"/>
              </w:rPr>
              <w:t>Haupt- und Finanzausschuss</w:t>
            </w:r>
          </w:p>
          <w:p>
            <w:pPr>
              <w:pStyle w:val="Normal"/>
              <w:snapToGrid w:val="false"/>
              <w:spacing w:lineRule="auto" w:line="240"/>
              <w:rPr/>
            </w:pPr>
            <w:r>
              <w:rPr>
                <w:b w:val="false"/>
                <w:bCs w:val="false"/>
                <w:sz w:val="24"/>
                <w:szCs w:val="24"/>
                <w:u w:val="none"/>
              </w:rPr>
              <w:t>Rat der Stadt</w:t>
            </w:r>
          </w:p>
        </w:tc>
        <w:tc>
          <w:tcPr>
            <w:tcW w:w="3260" w:type="dxa"/>
            <w:tcBorders>
              <w:left w:val="single" w:sz="4" w:space="0" w:color="000000"/>
              <w:bottom w:val="single" w:sz="4" w:space="0" w:color="000000"/>
            </w:tcBorders>
            <w:shd w:color="auto" w:fill="auto" w:val="clear"/>
          </w:tcPr>
          <w:p>
            <w:pPr>
              <w:pStyle w:val="Normal"/>
              <w:snapToGrid w:val="false"/>
              <w:spacing w:lineRule="auto" w:line="240"/>
              <w:rPr>
                <w:rFonts w:ascii="Arial" w:hAnsi="Arial"/>
                <w:sz w:val="24"/>
                <w:szCs w:val="24"/>
              </w:rPr>
            </w:pPr>
            <w:r>
              <w:rPr>
                <w:sz w:val="24"/>
                <w:szCs w:val="24"/>
              </w:rPr>
              <w:t>18.11.2019</w:t>
            </w:r>
          </w:p>
          <w:p>
            <w:pPr>
              <w:pStyle w:val="Normal"/>
              <w:snapToGrid w:val="false"/>
              <w:spacing w:lineRule="auto" w:line="240"/>
              <w:rPr>
                <w:rFonts w:ascii="Arial" w:hAnsi="Arial"/>
                <w:sz w:val="24"/>
                <w:szCs w:val="24"/>
              </w:rPr>
            </w:pPr>
            <w:r>
              <w:rPr>
                <w:sz w:val="24"/>
                <w:szCs w:val="24"/>
              </w:rPr>
              <w:t>25.11.2019</w:t>
            </w:r>
          </w:p>
        </w:tc>
        <w:tc>
          <w:tcPr>
            <w:tcW w:w="2571" w:type="dxa"/>
            <w:tcBorders>
              <w:left w:val="single" w:sz="4" w:space="0" w:color="000000"/>
              <w:bottom w:val="single" w:sz="4" w:space="0" w:color="000000"/>
              <w:right w:val="single" w:sz="4" w:space="0" w:color="000000"/>
            </w:tcBorders>
            <w:shd w:color="auto" w:fill="auto" w:val="clear"/>
          </w:tcPr>
          <w:p>
            <w:pPr>
              <w:pStyle w:val="Normal"/>
              <w:snapToGrid w:val="false"/>
              <w:spacing w:lineRule="auto" w:line="240"/>
              <w:rPr>
                <w:sz w:val="24"/>
                <w:szCs w:val="24"/>
              </w:rPr>
            </w:pPr>
            <w:r>
              <w:rPr>
                <w:sz w:val="24"/>
                <w:szCs w:val="24"/>
              </w:rPr>
              <w:t>Vorberatung</w:t>
            </w:r>
          </w:p>
          <w:p>
            <w:pPr>
              <w:pStyle w:val="Normal"/>
              <w:snapToGrid w:val="false"/>
              <w:spacing w:lineRule="auto" w:line="240"/>
              <w:rPr/>
            </w:pPr>
            <w:r>
              <w:rPr>
                <w:sz w:val="24"/>
                <w:szCs w:val="24"/>
              </w:rPr>
              <w:t>Entscheidung</w:t>
            </w:r>
          </w:p>
        </w:tc>
      </w:tr>
    </w:tbl>
    <w:p>
      <w:pPr>
        <w:pStyle w:val="Kopfzeile"/>
        <w:tabs>
          <w:tab w:val="clear" w:pos="4536"/>
          <w:tab w:val="clear" w:pos="9072"/>
        </w:tabs>
        <w:spacing w:lineRule="auto" w:line="240"/>
        <w:rPr>
          <w:rFonts w:ascii="Arial" w:hAnsi="Arial"/>
        </w:rPr>
      </w:pPr>
      <w:r>
        <w:rPr/>
      </w:r>
      <w:bookmarkStart w:id="0" w:name="Beratungsfolge"/>
      <w:bookmarkStart w:id="1" w:name="Beratungsfolge"/>
      <w:bookmarkEnd w:id="1"/>
    </w:p>
    <w:p>
      <w:pPr>
        <w:pStyle w:val="Kopfzeile"/>
        <w:tabs>
          <w:tab w:val="clear" w:pos="4536"/>
          <w:tab w:val="clear" w:pos="9072"/>
        </w:tabs>
        <w:spacing w:lineRule="auto" w:line="240"/>
        <w:rPr>
          <w:rFonts w:ascii="Arial" w:hAnsi="Arial"/>
          <w:sz w:val="24"/>
          <w:szCs w:val="24"/>
        </w:rPr>
      </w:pPr>
      <w:r>
        <w:rPr>
          <w:sz w:val="24"/>
          <w:szCs w:val="24"/>
        </w:rPr>
      </w:r>
    </w:p>
    <w:tbl>
      <w:tblPr>
        <w:tblW w:w="9203" w:type="dxa"/>
        <w:jc w:val="left"/>
        <w:tblInd w:w="-5" w:type="dxa"/>
        <w:tblCellMar>
          <w:top w:w="0" w:type="dxa"/>
          <w:left w:w="108" w:type="dxa"/>
          <w:bottom w:w="0" w:type="dxa"/>
          <w:right w:w="108" w:type="dxa"/>
        </w:tblCellMar>
        <w:tblLook w:firstRow="0" w:noVBand="0" w:lastRow="0" w:firstColumn="0" w:lastColumn="0" w:noHBand="0" w:val="0000"/>
      </w:tblPr>
      <w:tblGrid>
        <w:gridCol w:w="9203"/>
      </w:tblGrid>
      <w:tr>
        <w:trPr/>
        <w:tc>
          <w:tcPr>
            <w:tcW w:w="9203" w:type="dxa"/>
            <w:tcBorders>
              <w:top w:val="single" w:sz="4" w:space="0" w:color="000000"/>
              <w:left w:val="single" w:sz="4" w:space="0" w:color="000000"/>
              <w:bottom w:val="single" w:sz="4" w:space="0" w:color="000000"/>
              <w:right w:val="single" w:sz="4" w:space="0" w:color="000000"/>
            </w:tcBorders>
            <w:shd w:color="auto" w:fill="auto" w:val="clear"/>
          </w:tcPr>
          <w:p>
            <w:pPr>
              <w:pStyle w:val="Kopfzeile"/>
              <w:tabs>
                <w:tab w:val="clear" w:pos="4536"/>
                <w:tab w:val="clear" w:pos="9072"/>
              </w:tabs>
              <w:snapToGrid w:val="false"/>
              <w:spacing w:lineRule="auto" w:line="240" w:before="57" w:after="0"/>
              <w:rPr/>
            </w:pPr>
            <w:r>
              <w:rPr>
                <w:b/>
                <w:sz w:val="24"/>
                <w:szCs w:val="24"/>
              </w:rPr>
              <w:t xml:space="preserve">Betreff: Haushaltsplan 2020/2021; </w:t>
            </w:r>
            <w:r>
              <w:rPr>
                <w:b w:val="false"/>
                <w:bCs w:val="false"/>
                <w:sz w:val="24"/>
                <w:szCs w:val="24"/>
                <w:u w:val="none"/>
              </w:rPr>
              <w:t>hier Änderungsantrag zu</w:t>
            </w:r>
            <w:r>
              <w:rPr>
                <w:rFonts w:eastAsia="Times New Roman" w:cs="Times New Roman"/>
                <w:b w:val="false"/>
                <w:bCs w:val="false"/>
                <w:color w:val="auto"/>
                <w:kern w:val="0"/>
                <w:sz w:val="24"/>
                <w:szCs w:val="24"/>
                <w:u w:val="none"/>
                <w:lang w:val="de-DE" w:eastAsia="ar-SA" w:bidi="ar-SA"/>
              </w:rPr>
              <w:t>r Wiedereinführung der Baumschutzsatzung</w:t>
            </w:r>
          </w:p>
        </w:tc>
      </w:tr>
    </w:tbl>
    <w:p>
      <w:pPr>
        <w:pStyle w:val="Kopfzeile"/>
        <w:tabs>
          <w:tab w:val="clear" w:pos="4536"/>
          <w:tab w:val="clear" w:pos="9072"/>
        </w:tabs>
        <w:spacing w:lineRule="auto" w:line="240"/>
        <w:rPr>
          <w:rFonts w:ascii="Arial" w:hAnsi="Arial"/>
        </w:rPr>
      </w:pPr>
      <w:r>
        <w:rPr/>
      </w:r>
    </w:p>
    <w:p>
      <w:pPr>
        <w:pStyle w:val="Normal"/>
        <w:spacing w:lineRule="auto" w:line="240"/>
        <w:rPr>
          <w:rFonts w:ascii="Arial" w:hAnsi="Arial"/>
        </w:rPr>
      </w:pPr>
      <w:r>
        <w:rPr>
          <w:b/>
          <w:sz w:val="24"/>
          <w:szCs w:val="24"/>
        </w:rPr>
        <w:t>Inhalt</w:t>
      </w:r>
    </w:p>
    <w:p>
      <w:pPr>
        <w:pStyle w:val="Normal"/>
        <w:spacing w:lineRule="auto" w:line="240"/>
        <w:rPr>
          <w:b/>
          <w:b/>
          <w:sz w:val="24"/>
          <w:szCs w:val="24"/>
        </w:rPr>
      </w:pPr>
      <w:r>
        <w:rPr>
          <w:b/>
          <w:sz w:val="24"/>
          <w:szCs w:val="24"/>
        </w:rPr>
      </w:r>
    </w:p>
    <w:p>
      <w:pPr>
        <w:pStyle w:val="Normal"/>
        <w:spacing w:lineRule="auto" w:line="240"/>
        <w:rPr>
          <w:rFonts w:ascii="Arial" w:hAnsi="Arial"/>
        </w:rPr>
      </w:pPr>
      <w:r>
        <w:rPr>
          <w:b/>
          <w:sz w:val="24"/>
          <w:szCs w:val="24"/>
        </w:rPr>
        <w:t>Der Rat der Stadt Duisburg möge beschließen:</w:t>
      </w:r>
    </w:p>
    <w:p>
      <w:pPr>
        <w:pStyle w:val="Normal"/>
        <w:spacing w:lineRule="auto" w:line="240"/>
        <w:ind w:left="142" w:hanging="0"/>
        <w:rPr>
          <w:rFonts w:ascii="Arial" w:hAnsi="Arial"/>
          <w:sz w:val="24"/>
          <w:szCs w:val="24"/>
        </w:rPr>
      </w:pPr>
      <w:r>
        <w:rPr>
          <w:sz w:val="24"/>
          <w:szCs w:val="24"/>
        </w:rPr>
      </w:r>
    </w:p>
    <w:p>
      <w:pPr>
        <w:pStyle w:val="Normal"/>
        <w:spacing w:lineRule="auto" w:line="240"/>
        <w:ind w:hanging="0"/>
        <w:rPr>
          <w:rFonts w:ascii="Arial" w:hAnsi="Arial"/>
        </w:rPr>
      </w:pPr>
      <w:r>
        <w:rPr/>
        <w:t xml:space="preserve">Der Oberbürgermeister wird aufgefordert, die Baumschutzsatzung wieder in Kraft zusetzen. Die Satzung über die Aufhebung der Baumschutz- und Baumschutzgebührensatzung vom 02.12.2015 wird hiermit außer Kraft gesetzt. </w:t>
      </w:r>
    </w:p>
    <w:p>
      <w:pPr>
        <w:pStyle w:val="Normal"/>
        <w:spacing w:lineRule="auto" w:line="240"/>
        <w:ind w:hanging="0"/>
        <w:rPr>
          <w:rFonts w:ascii="Arial" w:hAnsi="Arial"/>
        </w:rPr>
      </w:pPr>
      <w:r>
        <w:rPr/>
      </w:r>
    </w:p>
    <w:p>
      <w:pPr>
        <w:pStyle w:val="Normal"/>
        <w:spacing w:lineRule="auto" w:line="240"/>
        <w:ind w:hanging="0"/>
        <w:rPr>
          <w:rFonts w:ascii="Arial" w:hAnsi="Arial"/>
        </w:rPr>
      </w:pPr>
      <w:r>
        <w:rPr/>
        <w:t>Die Verwaltung wird beauftragt, die Baumschutzgebührensatzung zu überarbeiten und anzupassen und dem Rat zur Entscheidung vorzulegen.</w:t>
      </w:r>
    </w:p>
    <w:p>
      <w:pPr>
        <w:pStyle w:val="Normal"/>
        <w:spacing w:lineRule="auto" w:line="240"/>
        <w:ind w:hanging="0"/>
        <w:rPr>
          <w:rFonts w:ascii="Arial" w:hAnsi="Arial"/>
        </w:rPr>
      </w:pPr>
      <w:r>
        <w:rPr/>
      </w:r>
    </w:p>
    <w:p>
      <w:pPr>
        <w:pStyle w:val="Normal"/>
        <w:spacing w:lineRule="auto" w:line="240"/>
        <w:ind w:hanging="0"/>
        <w:rPr/>
      </w:pPr>
      <w:r>
        <w:rPr/>
        <w:t>Der Haushaltsplan 2020/21 wird um die entsprechenden Haushaltspoisitonen gemäß der Baumschutzgebührensatzung erweitert. Der Stellenplan wird 2</w:t>
      </w:r>
      <w:r>
        <w:rPr>
          <w:sz w:val="22"/>
          <w:szCs w:val="22"/>
          <w:lang w:eastAsia="ar-SA"/>
        </w:rPr>
        <w:t>020/21</w:t>
      </w:r>
      <w:r>
        <w:rPr/>
        <w:t xml:space="preserve"> entsprechend angepasst. </w:t>
      </w:r>
    </w:p>
    <w:p>
      <w:pPr>
        <w:pStyle w:val="Normal"/>
        <w:spacing w:lineRule="auto" w:line="240"/>
        <w:ind w:hanging="0"/>
        <w:rPr>
          <w:rFonts w:ascii="Arial" w:hAnsi="Arial"/>
        </w:rPr>
      </w:pPr>
      <w:r>
        <w:rPr/>
      </w:r>
    </w:p>
    <w:p>
      <w:pPr>
        <w:pStyle w:val="Normal"/>
        <w:spacing w:lineRule="auto" w:line="240"/>
        <w:ind w:hanging="0"/>
        <w:rPr>
          <w:rFonts w:ascii="Arial" w:hAnsi="Arial"/>
        </w:rPr>
      </w:pPr>
      <w:r>
        <w:rPr/>
        <w:tab/>
        <w:tab/>
        <w:t>Einnahmen Gebühren</w:t>
        <w:tab/>
        <w:tab/>
        <w:t xml:space="preserve">  200 T €</w:t>
      </w:r>
    </w:p>
    <w:p>
      <w:pPr>
        <w:pStyle w:val="Normal"/>
        <w:spacing w:lineRule="auto" w:line="240"/>
        <w:ind w:hanging="0"/>
        <w:rPr>
          <w:rFonts w:ascii="Arial" w:hAnsi="Arial"/>
        </w:rPr>
      </w:pPr>
      <w:r>
        <w:rPr/>
        <w:tab/>
        <w:tab/>
        <w:t>Personalkosten (antlg.)</w:t>
        <w:tab/>
        <w:tab/>
        <w:t>- 210 T €</w:t>
      </w:r>
    </w:p>
    <w:p>
      <w:pPr>
        <w:pStyle w:val="Normal"/>
        <w:spacing w:lineRule="auto" w:line="240"/>
        <w:ind w:hanging="0"/>
        <w:rPr>
          <w:rFonts w:ascii="Arial" w:hAnsi="Arial"/>
        </w:rPr>
      </w:pPr>
      <w:r>
        <w:rPr/>
        <w:tab/>
        <w:tab/>
        <w:t>Ausgleichszahlungen</w:t>
        <w:tab/>
        <w:tab/>
        <w:tab/>
        <w:t xml:space="preserve">  290 T €</w:t>
      </w:r>
    </w:p>
    <w:p>
      <w:pPr>
        <w:pStyle w:val="Normal"/>
        <w:spacing w:lineRule="auto" w:line="240"/>
        <w:ind w:left="142" w:hanging="0"/>
        <w:rPr>
          <w:rFonts w:ascii="Arial" w:hAnsi="Arial"/>
          <w:sz w:val="24"/>
          <w:szCs w:val="24"/>
        </w:rPr>
      </w:pPr>
      <w:r>
        <w:rPr>
          <w:sz w:val="24"/>
          <w:szCs w:val="24"/>
        </w:rPr>
      </w:r>
    </w:p>
    <w:p>
      <w:pPr>
        <w:pStyle w:val="Normal"/>
        <w:spacing w:lineRule="auto" w:line="240"/>
        <w:ind w:hanging="0"/>
        <w:rPr>
          <w:rFonts w:ascii="Arial" w:hAnsi="Arial"/>
          <w:sz w:val="22"/>
          <w:szCs w:val="22"/>
        </w:rPr>
      </w:pPr>
      <w:r>
        <w:rPr>
          <w:sz w:val="22"/>
          <w:szCs w:val="22"/>
        </w:rPr>
        <w:t>Nach Überarbeitung der Baumschutzgebührensatzung werden die Haushaltspositionen für die Folgejahre angepasst.</w:t>
      </w:r>
    </w:p>
    <w:p>
      <w:pPr>
        <w:pStyle w:val="Normal"/>
        <w:spacing w:lineRule="auto" w:line="240"/>
        <w:ind w:hanging="0"/>
        <w:rPr>
          <w:rFonts w:ascii="Arial" w:hAnsi="Arial"/>
          <w:sz w:val="22"/>
          <w:szCs w:val="22"/>
        </w:rPr>
      </w:pPr>
      <w:r>
        <w:rPr>
          <w:sz w:val="22"/>
          <w:szCs w:val="22"/>
        </w:rPr>
      </w:r>
      <w:bookmarkStart w:id="2" w:name="_GoBack"/>
      <w:bookmarkStart w:id="3" w:name="_GoBack"/>
      <w:bookmarkEnd w:id="3"/>
    </w:p>
    <w:p>
      <w:pPr>
        <w:pStyle w:val="Normal"/>
        <w:spacing w:lineRule="auto" w:line="240" w:before="0" w:after="240"/>
        <w:rPr/>
      </w:pPr>
      <w:r>
        <w:rPr>
          <w:sz w:val="22"/>
          <w:szCs w:val="22"/>
          <w:u w:val="single"/>
        </w:rPr>
        <w:t>Begründung:</w:t>
        <w:br/>
      </w:r>
      <w:r>
        <w:rPr>
          <w:sz w:val="22"/>
          <w:szCs w:val="22"/>
          <w:u w:val="none"/>
        </w:rPr>
        <w:t xml:space="preserve">Die Baumschutzsatzung führt zu einem Erhalt und einer Förderung der Entwicklung des Baumbestandes im öffentlichen und privaten Bereich. Die Satzung bezieht sich gerade auf den Teil des Baumbestandes, der aufgrund seines Alters und seiner Größe eine hohe Wertigkeit besitzt. Damit wird insbesondere für eine Stadt wie Duisburg im Ballungsraum erreicht, dass ein qualitativ höherer Baumbestand zu einer erheblichen positiven Wirkung in Bezug auf das Stadtklima, die Immissionssituation (insbesondere die Feinstaubbelastung), das Artengefüge und das Ortsbild (Lebensqualität, lebenswerte Stadt) beitragen. Eng mit dem satzungsgemäßen Baumschutz verbunden ist das entwickelte Konzept zur Erweiterung und stetigen Erneuerung des Bestandes der Duisburger Straßenbäume. Dieses wird durch die Ausgleichszahlungen der Baumschutzsatzung unterstützt. Durch die zum 01.01.2016 erfolgte Aussetzung der Baumschutzsatzung hat die Stadt die privaten Gartenbesitzer aus ihrer Verantwortung für eine Kompensation von Baumfällungen entlassen. Diese Einnahmen sind entfallen und konnten nicht mehr in das Straßenbaumkonzept einfließen. </w:t>
      </w:r>
    </w:p>
    <w:sectPr>
      <w:type w:val="nextPage"/>
      <w:pgSz w:w="11906" w:h="16838"/>
      <w:pgMar w:left="1134" w:right="1134"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tarSymbol">
    <w:altName w:val="Arial Unicode MS"/>
    <w:charset w:val="00"/>
    <w:family w:val="roman"/>
    <w:pitch w:val="variable"/>
  </w:font>
  <w:font w:name="OpenSymbol">
    <w:altName w:val="Arial Unicode MS"/>
    <w:charset w:val="00"/>
    <w:family w:val="roman"/>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10"/>
  <w:embedSystemFonts/>
  <w:defaultTabStop w:val="708"/>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jc w:val="left"/>
      <w:textAlignment w:val="baseline"/>
    </w:pPr>
    <w:rPr>
      <w:rFonts w:ascii="Arial" w:hAnsi="Arial" w:eastAsia="Times New Roman" w:cs="Times New Roman"/>
      <w:color w:val="auto"/>
      <w:kern w:val="0"/>
      <w:sz w:val="22"/>
      <w:szCs w:val="22"/>
      <w:lang w:val="de-DE" w:eastAsia="ar-SA" w:bidi="ar-SA"/>
    </w:rPr>
  </w:style>
  <w:style w:type="character" w:styleId="DefaultParagraphFont" w:default="1">
    <w:name w:val="Default Paragraph Font"/>
    <w:uiPriority w:val="1"/>
    <w:semiHidden/>
    <w:unhideWhenUsed/>
    <w:qFormat/>
    <w:rPr/>
  </w:style>
  <w:style w:type="character" w:styleId="AbsatzStandardschriftart2" w:customStyle="1">
    <w:name w:val="Absatz-Standardschriftart2"/>
    <w:qFormat/>
    <w:rPr/>
  </w:style>
  <w:style w:type="character" w:styleId="WWAbsatzStandardschriftart" w:customStyle="1">
    <w:name w:val="WW-Absatz-Standardschriftart"/>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AbsatzStandardschriftart1" w:customStyle="1">
    <w:name w:val="Absatz-Standardschriftart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8Num1z2" w:customStyle="1">
    <w:name w:val="WW8Num1z2"/>
    <w:qFormat/>
    <w:rPr>
      <w:rFonts w:ascii="Wingdings" w:hAnsi="Wingdings" w:cs="Wingdings"/>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Kommentarzeichen1" w:customStyle="1">
    <w:name w:val="Kommentarzeichen1"/>
    <w:basedOn w:val="WWAbsatzStandardschriftart111111111111111111111111111111111111111"/>
    <w:qFormat/>
    <w:rPr>
      <w:vanish/>
      <w:sz w:val="16"/>
    </w:rPr>
  </w:style>
  <w:style w:type="character" w:styleId="WW8Num11z1" w:customStyle="1">
    <w:name w:val="WW8Num11z1"/>
    <w:qFormat/>
    <w:rPr>
      <w:rFonts w:ascii="Symbol" w:hAnsi="Symbol" w:cs="Symbol"/>
    </w:rPr>
  </w:style>
  <w:style w:type="character" w:styleId="Nummerierungszeichen" w:customStyle="1">
    <w:name w:val="Nummerierungszeichen"/>
    <w:qFormat/>
    <w:rPr/>
  </w:style>
  <w:style w:type="character" w:styleId="Aufzhlungszeichen1" w:customStyle="1">
    <w:name w:val="Aufzählungszeichen1"/>
    <w:qFormat/>
    <w:rPr>
      <w:rFonts w:ascii="StarSymbol" w:hAnsi="StarSymbol" w:eastAsia="StarSymbol" w:cs="StarSymbol"/>
      <w:sz w:val="18"/>
      <w:szCs w:val="18"/>
    </w:rPr>
  </w:style>
  <w:style w:type="character" w:styleId="Aufzhlungszeichen2" w:customStyle="1">
    <w:name w:val="Aufzählungszeichen2"/>
    <w:qFormat/>
    <w:rPr>
      <w:rFonts w:ascii="OpenSymbol" w:hAnsi="OpenSymbol" w:eastAsia="OpenSymbol" w:cs="OpenSymbol"/>
    </w:rPr>
  </w:style>
  <w:style w:type="character" w:styleId="FunotentextZchn" w:customStyle="1">
    <w:name w:val="Fußnotentext Zchn"/>
    <w:basedOn w:val="DefaultParagraphFont"/>
    <w:link w:val="Funotentext"/>
    <w:uiPriority w:val="99"/>
    <w:semiHidden/>
    <w:qFormat/>
    <w:rsid w:val="0087224f"/>
    <w:rPr>
      <w:rFonts w:ascii="Calibri" w:hAnsi="Calibri" w:eastAsia="Calibri" w:eastAsiaTheme="minorHAnsi"/>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87224f"/>
    <w:rPr>
      <w:vertAlign w:val="superscript"/>
    </w:rPr>
  </w:style>
  <w:style w:type="paragraph" w:styleId="Berschrift" w:customStyle="1">
    <w:name w:val="Überschrift"/>
    <w:basedOn w:val="Normal"/>
    <w:next w:val="Textkrper"/>
    <w:qFormat/>
    <w:pPr>
      <w:keepNext w:val="true"/>
      <w:spacing w:before="240" w:after="120"/>
    </w:pPr>
    <w:rPr>
      <w:rFonts w:eastAsia="Lucida Sans Unicode" w:cs="Tahoma"/>
      <w:sz w:val="28"/>
      <w:szCs w:val="28"/>
    </w:rPr>
  </w:style>
  <w:style w:type="paragraph" w:styleId="Textkrper">
    <w:name w:val="Body Text"/>
    <w:basedOn w:val="Normal"/>
    <w:pPr>
      <w:spacing w:before="0" w:after="120"/>
    </w:pPr>
    <w:rPr/>
  </w:style>
  <w:style w:type="paragraph" w:styleId="Liste">
    <w:name w:val="List"/>
    <w:basedOn w:val="Textkrper"/>
    <w:pPr/>
    <w:rPr>
      <w:rFonts w:ascii="Times New Roman" w:hAnsi="Times New Roman" w:cs="Tahoma"/>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rFonts w:cs="Tahoma"/>
    </w:rPr>
  </w:style>
  <w:style w:type="paragraph" w:styleId="Beschriftung2" w:customStyle="1">
    <w:name w:val="Beschriftung2"/>
    <w:basedOn w:val="Normal"/>
    <w:qFormat/>
    <w:pPr>
      <w:suppressLineNumbers/>
      <w:spacing w:before="120" w:after="120"/>
    </w:pPr>
    <w:rPr>
      <w:rFonts w:cs="Tahoma"/>
      <w:i/>
      <w:iCs/>
      <w:sz w:val="24"/>
      <w:szCs w:val="24"/>
    </w:rPr>
  </w:style>
  <w:style w:type="paragraph" w:styleId="Beschriftung1" w:customStyle="1">
    <w:name w:val="Beschriftung1"/>
    <w:basedOn w:val="Normal"/>
    <w:qFormat/>
    <w:pPr>
      <w:suppressLineNumbers/>
      <w:spacing w:before="120" w:after="120"/>
    </w:pPr>
    <w:rPr>
      <w:rFonts w:cs="Tahoma"/>
      <w:i/>
      <w:iCs/>
      <w:sz w:val="24"/>
      <w:szCs w:val="24"/>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Kommentartext1" w:customStyle="1">
    <w:name w:val="Kommentartext1"/>
    <w:basedOn w:val="Normal"/>
    <w:qFormat/>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sz w:val="20"/>
      <w:szCs w:val="20"/>
    </w:rPr>
  </w:style>
  <w:style w:type="paragraph" w:styleId="Rahmeninhalt" w:customStyle="1">
    <w:name w:val="Rahmeninhalt"/>
    <w:basedOn w:val="Textkrper"/>
    <w:qFormat/>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i/>
      <w:iCs/>
    </w:rPr>
  </w:style>
  <w:style w:type="paragraph" w:styleId="VorformatierterText" w:customStyle="1">
    <w:name w:val="Vorformatierter Text"/>
    <w:basedOn w:val="Normal"/>
    <w:qFormat/>
    <w:pPr/>
    <w:rPr>
      <w:rFonts w:ascii="Courier New" w:hAnsi="Courier New" w:eastAsia="Courier New" w:cs="Courier New"/>
      <w:sz w:val="20"/>
      <w:szCs w:val="20"/>
    </w:rPr>
  </w:style>
  <w:style w:type="paragraph" w:styleId="Funote">
    <w:name w:val="Footnote Text"/>
    <w:basedOn w:val="Normal"/>
    <w:link w:val="FunotentextZchn"/>
    <w:uiPriority w:val="99"/>
    <w:semiHidden/>
    <w:unhideWhenUsed/>
    <w:rsid w:val="0087224f"/>
    <w:pPr>
      <w:widowControl/>
      <w:suppressAutoHyphens w:val="false"/>
      <w:overflowPunct w:val="true"/>
      <w:textAlignment w:val="auto"/>
    </w:pPr>
    <w:rPr>
      <w:rFonts w:ascii="Calibri" w:hAnsi="Calibri" w:eastAsia="Calibri" w:eastAsiaTheme="minorHAnsi"/>
      <w:sz w:val="20"/>
      <w:szCs w:val="20"/>
      <w:lang w:eastAsia="de-DE"/>
    </w:rPr>
  </w:style>
  <w:style w:type="paragraph" w:styleId="NoSpacing">
    <w:name w:val="No Spacing"/>
    <w:uiPriority w:val="1"/>
    <w:qFormat/>
    <w:rsid w:val="0087224f"/>
    <w:pPr>
      <w:widowControl/>
      <w:bidi w:val="0"/>
      <w:jc w:val="left"/>
    </w:pPr>
    <w:rPr>
      <w:rFonts w:ascii="Calibri" w:hAnsi="Calibri" w:eastAsia="Calibri" w:cs="" w:asciiTheme="minorHAnsi" w:cstheme="minorBidi" w:eastAsiaTheme="minorHAnsi" w:hAnsiTheme="minorHAnsi"/>
      <w:color w:val="auto"/>
      <w:kern w:val="0"/>
      <w:sz w:val="24"/>
      <w:szCs w:val="22"/>
      <w:lang w:val="de-DE" w:eastAsia="en-US" w:bidi="ar-SA"/>
    </w:rPr>
  </w:style>
  <w:style w:type="paragraph" w:styleId="ListParagraph">
    <w:name w:val="List Paragraph"/>
    <w:basedOn w:val="Normal"/>
    <w:uiPriority w:val="34"/>
    <w:qFormat/>
    <w:rsid w:val="008b5229"/>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LibreOffice/6.3.1.2$Windows_X86_64 LibreOffice_project/b79626edf0065ac373bd1df5c28bd630b4424273</Application>
  <Pages>1</Pages>
  <Words>271</Words>
  <Characters>1922</Characters>
  <CharactersWithSpaces>2189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2014-09-10T11:01:00Z</dcterms:created>
  <dc:creator>Christiane</dc:creator>
  <dc:description/>
  <dc:language>de-DE</dc:language>
  <cp:lastModifiedBy/>
  <cp:lastPrinted>2019-03-07T17:38:00Z</cp:lastPrinted>
  <dcterms:modified xsi:type="dcterms:W3CDTF">2019-11-15T12:22:42Z</dcterms:modified>
  <cp:revision>11</cp:revision>
  <dc:subject>Vorlage</dc:subject>
  <dc:title>Beschlussvorlage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