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29" w:rsidRDefault="00517C32">
      <w:pPr>
        <w:tabs>
          <w:tab w:val="left" w:pos="3402"/>
        </w:tabs>
        <w:jc w:val="center"/>
        <w:rPr>
          <w:b/>
          <w:sz w:val="32"/>
        </w:rPr>
      </w:pPr>
      <w:r>
        <w:rPr>
          <w:rFonts w:ascii="Arial" w:hAnsi="Arial"/>
          <w:b/>
          <w:sz w:val="32"/>
        </w:rPr>
        <w:t>Antrag der Fraktion</w:t>
      </w:r>
    </w:p>
    <w:p w:rsidR="00244529" w:rsidRDefault="00517C32">
      <w:pPr>
        <w:tabs>
          <w:tab w:val="left" w:pos="3402"/>
        </w:tabs>
        <w:jc w:val="center"/>
        <w:rPr>
          <w:rFonts w:ascii="Arial" w:hAnsi="Arial"/>
        </w:rPr>
      </w:pPr>
      <w:r>
        <w:rPr>
          <w:rFonts w:ascii="Arial" w:hAnsi="Arial"/>
          <w:b/>
          <w:sz w:val="32"/>
        </w:rPr>
        <w:t>Bündnis 90/Die GRÜNEN im Rat der Stadt Duisburg</w:t>
      </w:r>
      <w:r>
        <w:rPr>
          <w:rFonts w:ascii="Arial" w:hAnsi="Arial"/>
          <w:b/>
          <w:sz w:val="32"/>
        </w:rPr>
        <w:br/>
      </w:r>
      <w:bookmarkStart w:id="0" w:name="Beratungsfolge"/>
      <w:bookmarkEnd w:id="0"/>
    </w:p>
    <w:tbl>
      <w:tblPr>
        <w:tblW w:w="9165" w:type="dxa"/>
        <w:tblInd w:w="-5" w:type="dxa"/>
        <w:tblCellMar>
          <w:left w:w="70" w:type="dxa"/>
          <w:right w:w="70" w:type="dxa"/>
        </w:tblCellMar>
        <w:tblLook w:val="0000" w:firstRow="0" w:lastRow="0" w:firstColumn="0" w:lastColumn="0" w:noHBand="0" w:noVBand="0"/>
      </w:tblPr>
      <w:tblGrid>
        <w:gridCol w:w="4184"/>
        <w:gridCol w:w="2410"/>
        <w:gridCol w:w="2571"/>
      </w:tblGrid>
      <w:tr w:rsidR="00244529">
        <w:trPr>
          <w:trHeight w:val="792"/>
        </w:trPr>
        <w:tc>
          <w:tcPr>
            <w:tcW w:w="4184" w:type="dxa"/>
            <w:shd w:val="clear" w:color="auto" w:fill="auto"/>
          </w:tcPr>
          <w:p w:rsidR="00244529" w:rsidRDefault="00517C32">
            <w:pPr>
              <w:snapToGrid w:val="0"/>
              <w:spacing w:before="120" w:after="120"/>
              <w:rPr>
                <w:rFonts w:ascii="Arial" w:hAnsi="Arial"/>
              </w:rPr>
            </w:pPr>
            <w:r>
              <w:rPr>
                <w:rFonts w:ascii="Arial" w:hAnsi="Arial" w:cs="Arial"/>
                <w:b/>
                <w:sz w:val="24"/>
                <w:szCs w:val="24"/>
              </w:rPr>
              <w:t xml:space="preserve">Zur Sitzung: </w:t>
            </w:r>
          </w:p>
        </w:tc>
        <w:tc>
          <w:tcPr>
            <w:tcW w:w="2410" w:type="dxa"/>
            <w:shd w:val="clear" w:color="auto" w:fill="auto"/>
          </w:tcPr>
          <w:p w:rsidR="00244529" w:rsidRDefault="00517C32">
            <w:pPr>
              <w:pStyle w:val="Kopfzeile"/>
              <w:tabs>
                <w:tab w:val="clear" w:pos="4536"/>
                <w:tab w:val="clear" w:pos="9072"/>
              </w:tabs>
              <w:snapToGrid w:val="0"/>
              <w:spacing w:before="120" w:after="120"/>
            </w:pPr>
            <w:r>
              <w:rPr>
                <w:rFonts w:cs="Arial"/>
                <w:b/>
                <w:sz w:val="24"/>
                <w:szCs w:val="24"/>
              </w:rPr>
              <w:t>Sitzungstermin:</w:t>
            </w:r>
            <w:r>
              <w:rPr>
                <w:rFonts w:cs="Arial"/>
                <w:b/>
                <w:sz w:val="24"/>
                <w:szCs w:val="24"/>
              </w:rPr>
              <w:br/>
            </w:r>
          </w:p>
        </w:tc>
        <w:tc>
          <w:tcPr>
            <w:tcW w:w="2571" w:type="dxa"/>
            <w:shd w:val="clear" w:color="auto" w:fill="auto"/>
          </w:tcPr>
          <w:p w:rsidR="00244529" w:rsidRDefault="00517C32">
            <w:pPr>
              <w:snapToGrid w:val="0"/>
              <w:spacing w:before="120" w:after="120"/>
              <w:ind w:left="-10" w:right="395"/>
              <w:rPr>
                <w:rFonts w:ascii="Arial" w:hAnsi="Arial"/>
              </w:rPr>
            </w:pPr>
            <w:r>
              <w:rPr>
                <w:rFonts w:ascii="Arial" w:hAnsi="Arial" w:cs="Arial"/>
                <w:b/>
                <w:sz w:val="24"/>
                <w:szCs w:val="24"/>
              </w:rPr>
              <w:t>Behandlung</w:t>
            </w:r>
          </w:p>
        </w:tc>
      </w:tr>
      <w:tr w:rsidR="00244529">
        <w:trPr>
          <w:trHeight w:val="58"/>
        </w:trPr>
        <w:tc>
          <w:tcPr>
            <w:tcW w:w="4184" w:type="dxa"/>
            <w:shd w:val="clear" w:color="auto" w:fill="auto"/>
          </w:tcPr>
          <w:p w:rsidR="00244529" w:rsidRDefault="00517C32">
            <w:pPr>
              <w:rPr>
                <w:rFonts w:ascii="Arial" w:hAnsi="Arial"/>
              </w:rPr>
            </w:pPr>
            <w:r>
              <w:rPr>
                <w:rFonts w:ascii="Arial" w:hAnsi="Arial" w:cs="Arial"/>
                <w:sz w:val="24"/>
                <w:szCs w:val="24"/>
                <w:lang w:eastAsia="de-DE"/>
              </w:rPr>
              <w:t>Rat der Stadt</w:t>
            </w:r>
          </w:p>
        </w:tc>
        <w:tc>
          <w:tcPr>
            <w:tcW w:w="2410" w:type="dxa"/>
            <w:shd w:val="clear" w:color="auto" w:fill="auto"/>
          </w:tcPr>
          <w:p w:rsidR="00244529" w:rsidRDefault="00517C32">
            <w:pPr>
              <w:snapToGrid w:val="0"/>
              <w:rPr>
                <w:rFonts w:ascii="Arial" w:hAnsi="Arial" w:cs="Arial"/>
                <w:sz w:val="24"/>
                <w:szCs w:val="24"/>
              </w:rPr>
            </w:pPr>
            <w:r>
              <w:rPr>
                <w:rFonts w:ascii="Arial" w:hAnsi="Arial" w:cs="Arial"/>
                <w:sz w:val="24"/>
                <w:szCs w:val="24"/>
              </w:rPr>
              <w:t>25.11.2019</w:t>
            </w:r>
          </w:p>
        </w:tc>
        <w:tc>
          <w:tcPr>
            <w:tcW w:w="2571" w:type="dxa"/>
            <w:shd w:val="clear" w:color="auto" w:fill="auto"/>
          </w:tcPr>
          <w:p w:rsidR="00244529" w:rsidRDefault="00517C32">
            <w:pPr>
              <w:snapToGrid w:val="0"/>
              <w:rPr>
                <w:rFonts w:ascii="Arial" w:hAnsi="Arial" w:cs="Arial"/>
                <w:sz w:val="24"/>
                <w:szCs w:val="24"/>
              </w:rPr>
            </w:pPr>
            <w:r>
              <w:rPr>
                <w:rFonts w:ascii="Arial" w:hAnsi="Arial" w:cs="Arial"/>
                <w:sz w:val="24"/>
                <w:szCs w:val="24"/>
                <w:lang w:eastAsia="de-DE"/>
              </w:rPr>
              <w:t>Entscheidung</w:t>
            </w:r>
          </w:p>
        </w:tc>
      </w:tr>
    </w:tbl>
    <w:p w:rsidR="00244529" w:rsidRDefault="00244529">
      <w:pPr>
        <w:tabs>
          <w:tab w:val="left" w:pos="3402"/>
        </w:tabs>
        <w:jc w:val="center"/>
        <w:rPr>
          <w:rFonts w:ascii="Arial" w:hAnsi="Arial"/>
        </w:rPr>
      </w:pPr>
    </w:p>
    <w:p w:rsidR="00244529" w:rsidRDefault="00244529">
      <w:pPr>
        <w:pStyle w:val="Kopfzeile"/>
        <w:tabs>
          <w:tab w:val="clear" w:pos="4536"/>
          <w:tab w:val="clear" w:pos="9072"/>
        </w:tabs>
        <w:rPr>
          <w:sz w:val="24"/>
          <w:szCs w:val="24"/>
        </w:rPr>
      </w:pPr>
    </w:p>
    <w:tbl>
      <w:tblPr>
        <w:tblW w:w="9340" w:type="dxa"/>
        <w:tblInd w:w="-142" w:type="dxa"/>
        <w:tblLook w:val="0000" w:firstRow="0" w:lastRow="0" w:firstColumn="0" w:lastColumn="0" w:noHBand="0" w:noVBand="0"/>
      </w:tblPr>
      <w:tblGrid>
        <w:gridCol w:w="9340"/>
      </w:tblGrid>
      <w:tr w:rsidR="00244529">
        <w:tc>
          <w:tcPr>
            <w:tcW w:w="9340" w:type="dxa"/>
            <w:shd w:val="clear" w:color="auto" w:fill="auto"/>
          </w:tcPr>
          <w:p w:rsidR="00244529" w:rsidRDefault="00517C32" w:rsidP="00E96571">
            <w:pPr>
              <w:pStyle w:val="Kopfzeile"/>
              <w:tabs>
                <w:tab w:val="clear" w:pos="4536"/>
                <w:tab w:val="clear" w:pos="9072"/>
              </w:tabs>
              <w:snapToGrid w:val="0"/>
              <w:spacing w:before="57"/>
              <w:rPr>
                <w:color w:val="FF4000"/>
              </w:rPr>
            </w:pPr>
            <w:r>
              <w:rPr>
                <w:b/>
                <w:sz w:val="24"/>
                <w:szCs w:val="24"/>
              </w:rPr>
              <w:t xml:space="preserve">Betreff: </w:t>
            </w:r>
            <w:r>
              <w:rPr>
                <w:rFonts w:cs="Arial"/>
                <w:b/>
                <w:sz w:val="24"/>
                <w:szCs w:val="24"/>
              </w:rPr>
              <w:t>Änderung des HH-Planentwurfs 2020/2021: Produkt 030101 Schülerplätze an Grundschulen und Produkt 060106 Betreuung von Kindern in Kindertageseinrichtunge</w:t>
            </w:r>
            <w:r>
              <w:rPr>
                <w:rFonts w:cs="Arial"/>
                <w:b/>
                <w:color w:val="000000"/>
                <w:sz w:val="24"/>
                <w:szCs w:val="24"/>
              </w:rPr>
              <w:t>n</w:t>
            </w:r>
          </w:p>
        </w:tc>
      </w:tr>
    </w:tbl>
    <w:p w:rsidR="00244529" w:rsidRDefault="00244529">
      <w:pPr>
        <w:rPr>
          <w:rFonts w:ascii="Arial" w:hAnsi="Arial"/>
        </w:rPr>
      </w:pPr>
    </w:p>
    <w:p w:rsidR="00244529" w:rsidRDefault="00E96571">
      <w:r>
        <w:rPr>
          <w:rFonts w:ascii="Arial" w:hAnsi="Arial"/>
          <w:b/>
          <w:bCs/>
          <w:u w:val="single"/>
        </w:rPr>
        <w:br/>
      </w:r>
      <w:r w:rsidR="00517C32">
        <w:rPr>
          <w:rFonts w:ascii="Arial" w:hAnsi="Arial"/>
          <w:b/>
          <w:bCs/>
          <w:u w:val="single"/>
        </w:rPr>
        <w:t>Der Rat der Stadt möge beschließen:</w:t>
      </w:r>
    </w:p>
    <w:p w:rsidR="00244529" w:rsidRDefault="00517C32">
      <w:pPr>
        <w:numPr>
          <w:ilvl w:val="0"/>
          <w:numId w:val="1"/>
        </w:numPr>
      </w:pPr>
      <w:r>
        <w:rPr>
          <w:rFonts w:ascii="Arial" w:hAnsi="Arial" w:cs="Arial"/>
        </w:rPr>
        <w:t xml:space="preserve">Bis zu einem Einkommen von </w:t>
      </w:r>
      <w:r w:rsidR="00BB585A">
        <w:rPr>
          <w:rFonts w:ascii="Arial" w:hAnsi="Arial" w:cs="Arial"/>
        </w:rPr>
        <w:t>42</w:t>
      </w:r>
      <w:r>
        <w:rPr>
          <w:rFonts w:ascii="Arial" w:hAnsi="Arial" w:cs="Arial"/>
        </w:rPr>
        <w:t xml:space="preserve">.000€ p.a. ist der Besuch des offenen Ganztags und der Kindertagesstätten beitragsfrei. Mit wachsendem Einkommen werden die Beiträge moderat </w:t>
      </w:r>
      <w:r w:rsidR="00376E18">
        <w:rPr>
          <w:rFonts w:ascii="Arial" w:hAnsi="Arial" w:cs="Arial"/>
        </w:rPr>
        <w:t xml:space="preserve">gestaffelt. </w:t>
      </w:r>
    </w:p>
    <w:p w:rsidR="00244529" w:rsidRDefault="00517C32">
      <w:pPr>
        <w:numPr>
          <w:ilvl w:val="0"/>
          <w:numId w:val="1"/>
        </w:numPr>
        <w:rPr>
          <w:rFonts w:ascii="Arial" w:hAnsi="Arial"/>
        </w:rPr>
      </w:pPr>
      <w:r>
        <w:rPr>
          <w:rFonts w:ascii="Arial" w:hAnsi="Arial" w:cs="Arial"/>
        </w:rPr>
        <w:t>Die Verwaltung wird beauftragt, die Beitragssatzung von offenem Ganztag und Kita gleichzusetzen, zu korrigieren und sich dabei an der angehängten Tabelle zu orientieren. (Siehe Anlage</w:t>
      </w:r>
      <w:r w:rsidR="00150C86">
        <w:rPr>
          <w:rFonts w:ascii="Arial" w:hAnsi="Arial" w:cs="Arial"/>
        </w:rPr>
        <w:t>, S. 2</w:t>
      </w:r>
      <w:r>
        <w:rPr>
          <w:rFonts w:ascii="Arial" w:hAnsi="Arial" w:cs="Arial"/>
        </w:rPr>
        <w:t>)</w:t>
      </w:r>
    </w:p>
    <w:p w:rsidR="00244529" w:rsidRDefault="00517C32">
      <w:pPr>
        <w:numPr>
          <w:ilvl w:val="0"/>
          <w:numId w:val="1"/>
        </w:numPr>
      </w:pPr>
      <w:r>
        <w:rPr>
          <w:rFonts w:ascii="Arial" w:hAnsi="Arial"/>
        </w:rPr>
        <w:t>Geschwisterkinder bleiben wie bisher beitragsfrei.</w:t>
      </w:r>
    </w:p>
    <w:p w:rsidR="00244529" w:rsidRDefault="00244529">
      <w:pPr>
        <w:pStyle w:val="Kopfzeile"/>
        <w:tabs>
          <w:tab w:val="clear" w:pos="4536"/>
          <w:tab w:val="clear" w:pos="9072"/>
        </w:tabs>
        <w:snapToGrid w:val="0"/>
        <w:spacing w:before="57"/>
      </w:pPr>
    </w:p>
    <w:p w:rsidR="00244529" w:rsidRDefault="00517C32">
      <w:pPr>
        <w:rPr>
          <w:rFonts w:ascii="Arial" w:hAnsi="Arial"/>
          <w:b/>
          <w:bCs/>
        </w:rPr>
      </w:pPr>
      <w:r>
        <w:rPr>
          <w:rFonts w:ascii="Arial" w:hAnsi="Arial"/>
          <w:b/>
          <w:bCs/>
        </w:rPr>
        <w:t>Begründung:</w:t>
      </w:r>
    </w:p>
    <w:p w:rsidR="00244529" w:rsidRDefault="00517C32">
      <w:pPr>
        <w:rPr>
          <w:rFonts w:ascii="Arial" w:hAnsi="Arial"/>
        </w:rPr>
      </w:pPr>
      <w:r>
        <w:rPr>
          <w:rFonts w:ascii="Arial" w:hAnsi="Arial"/>
        </w:rPr>
        <w:t xml:space="preserve">Jedem Kind unserer Stadt soll es ermöglicht werden, in der Grundschule die Leistungen einer Betreuung im Ganztag in Anspruch zu nehmen, unabhängig von der Herkunft und dem Einkommen der Eltern – gleiches gilt für die Betreuung in einer Kindertagesstätte. Beide Einrichtungen sind wichtige Bausteine für Teilhabe und finanzielle Absicherung und deshalb bei der Beitragshöhe gleich zu behandeln.   </w:t>
      </w:r>
    </w:p>
    <w:p w:rsidR="00244529" w:rsidRDefault="00517C32">
      <w:pPr>
        <w:rPr>
          <w:rFonts w:ascii="Arial" w:hAnsi="Arial"/>
        </w:rPr>
      </w:pPr>
      <w:r>
        <w:rPr>
          <w:rFonts w:ascii="Arial" w:hAnsi="Arial"/>
        </w:rPr>
        <w:t xml:space="preserve">Der Haushalt der stark verschuldeten Stadt lässt einen komplett kostenfreien Besuch von Kitas und offenem Ganztag im Moment nicht zu. Stattdessen werden nach DS 19-1206 bereits ab einem Einkommen von 15.000€ Beiträge für den offenen Ganztag fällig und der Besuch einer Kita muss schon ab 20.000€ bezahlt werden. </w:t>
      </w:r>
      <w:r>
        <w:rPr>
          <w:rFonts w:ascii="Arial" w:hAnsi="Arial" w:cs="Arial"/>
        </w:rPr>
        <w:t xml:space="preserve">Armut errechnet sich statistisch in Deutschland durch einen Prozentsatz des Medianeinkommens. Dabei werden die Armutsrisikogrenze und die Armutsgrenze unterschieden. Wer 60 Prozent des Medianeinkommens zur Verfügung hat, ist von Armut bedroht. Bei 50 Prozent ist man offiziell arm. Bei Familien mit zwei Kindern sind 1872 Euro (22.464 per anno) die Grenze zur Armut, so der Paritätische Wohlfahrtsverband. In solch einer Situation ist jeder Beitrag zu viel. </w:t>
      </w:r>
    </w:p>
    <w:p w:rsidR="00244529" w:rsidRDefault="00517C32">
      <w:pPr>
        <w:rPr>
          <w:rFonts w:ascii="Arial" w:hAnsi="Arial"/>
        </w:rPr>
      </w:pPr>
      <w:r>
        <w:rPr>
          <w:rFonts w:ascii="Arial" w:hAnsi="Arial" w:cs="Arial"/>
        </w:rPr>
        <w:t xml:space="preserve">Zur Unterstützung der von Armut betroffenen oder bedrohten Menschen unserer Stadt soll deshalb die Beitragssatzung geändert werden. </w:t>
      </w:r>
    </w:p>
    <w:p w:rsidR="00244529" w:rsidRDefault="00517C32">
      <w:pPr>
        <w:rPr>
          <w:rFonts w:ascii="Arial" w:hAnsi="Arial"/>
        </w:rPr>
      </w:pPr>
      <w:r>
        <w:rPr>
          <w:rFonts w:ascii="Arial" w:hAnsi="Arial" w:cs="Arial"/>
        </w:rPr>
        <w:br/>
      </w:r>
    </w:p>
    <w:p w:rsidR="00150C86" w:rsidRDefault="00150C86">
      <w:pPr>
        <w:rPr>
          <w:rFonts w:ascii="Arial" w:hAnsi="Arial"/>
        </w:rPr>
      </w:pPr>
    </w:p>
    <w:p w:rsidR="00150C86" w:rsidRDefault="00150C86">
      <w:pPr>
        <w:rPr>
          <w:rFonts w:ascii="Arial" w:hAnsi="Arial"/>
        </w:rPr>
      </w:pPr>
    </w:p>
    <w:p w:rsidR="00150C86" w:rsidRDefault="00150C86">
      <w:pPr>
        <w:rPr>
          <w:rFonts w:ascii="Arial" w:hAnsi="Arial"/>
        </w:rPr>
      </w:pPr>
    </w:p>
    <w:p w:rsidR="00150C86" w:rsidRPr="00150C86" w:rsidRDefault="00150C86" w:rsidP="00150C86">
      <w:pPr>
        <w:rPr>
          <w:rFonts w:ascii="Arial" w:hAnsi="Arial"/>
          <w:sz w:val="28"/>
          <w:szCs w:val="28"/>
        </w:rPr>
      </w:pPr>
      <w:r w:rsidRPr="00150C86">
        <w:rPr>
          <w:rFonts w:ascii="Arial" w:hAnsi="Arial"/>
          <w:b/>
          <w:sz w:val="28"/>
          <w:szCs w:val="28"/>
          <w:u w:val="single"/>
        </w:rPr>
        <w:t xml:space="preserve">Einkommen </w:t>
      </w:r>
      <w:r w:rsidR="00A454E8">
        <w:rPr>
          <w:rFonts w:ascii="Arial" w:hAnsi="Arial"/>
          <w:b/>
          <w:sz w:val="28"/>
          <w:szCs w:val="28"/>
          <w:u w:val="single"/>
        </w:rPr>
        <w:t>p.A. in T-€</w:t>
      </w:r>
      <w:r w:rsidR="00A454E8">
        <w:rPr>
          <w:rFonts w:ascii="Arial" w:hAnsi="Arial"/>
          <w:b/>
          <w:sz w:val="28"/>
          <w:szCs w:val="28"/>
          <w:u w:val="single"/>
        </w:rPr>
        <w:tab/>
      </w:r>
      <w:r w:rsidR="00A454E8">
        <w:rPr>
          <w:rFonts w:ascii="Arial" w:hAnsi="Arial"/>
          <w:b/>
          <w:sz w:val="28"/>
          <w:szCs w:val="28"/>
          <w:u w:val="single"/>
        </w:rPr>
        <w:tab/>
      </w:r>
      <w:r w:rsidR="00A454E8">
        <w:rPr>
          <w:rFonts w:ascii="Arial" w:hAnsi="Arial"/>
          <w:b/>
          <w:sz w:val="28"/>
          <w:szCs w:val="28"/>
          <w:u w:val="single"/>
        </w:rPr>
        <w:tab/>
        <w:t>Beitrag</w:t>
      </w:r>
      <w:r w:rsidR="00A454E8">
        <w:rPr>
          <w:rFonts w:ascii="Arial" w:hAnsi="Arial"/>
          <w:b/>
          <w:sz w:val="28"/>
          <w:szCs w:val="28"/>
          <w:u w:val="single"/>
        </w:rPr>
        <w:tab/>
        <w:t>in % v. Einkommen</w:t>
      </w:r>
      <w:r w:rsidRPr="00150C86">
        <w:rPr>
          <w:rFonts w:ascii="Arial" w:hAnsi="Arial"/>
          <w:b/>
          <w:sz w:val="28"/>
          <w:szCs w:val="28"/>
          <w:u w:val="single"/>
        </w:rPr>
        <w:br/>
      </w:r>
      <w:r w:rsidRPr="00150C86">
        <w:rPr>
          <w:rFonts w:ascii="Arial" w:hAnsi="Arial"/>
          <w:sz w:val="28"/>
          <w:szCs w:val="28"/>
        </w:rPr>
        <w:t>( von</w:t>
      </w:r>
      <w:r w:rsidRPr="00150C86">
        <w:rPr>
          <w:rFonts w:ascii="Arial" w:hAnsi="Arial"/>
          <w:sz w:val="28"/>
          <w:szCs w:val="28"/>
        </w:rPr>
        <w:tab/>
      </w:r>
      <w:r w:rsidRPr="00150C86">
        <w:rPr>
          <w:rFonts w:ascii="Arial" w:hAnsi="Arial"/>
          <w:sz w:val="28"/>
          <w:szCs w:val="28"/>
        </w:rPr>
        <w:tab/>
      </w:r>
      <w:r>
        <w:rPr>
          <w:rFonts w:ascii="Arial" w:hAnsi="Arial"/>
          <w:sz w:val="28"/>
          <w:szCs w:val="28"/>
        </w:rPr>
        <w:tab/>
      </w:r>
      <w:r w:rsidRPr="00150C86">
        <w:rPr>
          <w:rFonts w:ascii="Arial" w:hAnsi="Arial"/>
          <w:sz w:val="28"/>
          <w:szCs w:val="28"/>
        </w:rPr>
        <w:t>bis )</w:t>
      </w:r>
      <w:r w:rsidRPr="00150C86">
        <w:rPr>
          <w:rFonts w:ascii="Arial" w:hAnsi="Arial"/>
          <w:sz w:val="28"/>
          <w:szCs w:val="28"/>
        </w:rPr>
        <w:tab/>
      </w:r>
    </w:p>
    <w:p w:rsidR="00150C86" w:rsidRPr="00150C86" w:rsidRDefault="00150C86" w:rsidP="00150C86">
      <w:pPr>
        <w:rPr>
          <w:rFonts w:ascii="Arial" w:hAnsi="Arial"/>
          <w:sz w:val="28"/>
          <w:szCs w:val="28"/>
        </w:rPr>
      </w:pPr>
      <w:r w:rsidRPr="00150C86">
        <w:rPr>
          <w:rFonts w:ascii="Arial" w:hAnsi="Arial"/>
          <w:sz w:val="28"/>
          <w:szCs w:val="28"/>
        </w:rPr>
        <w:t xml:space="preserve"> -   € </w:t>
      </w:r>
      <w:r w:rsidRPr="00150C86">
        <w:rPr>
          <w:rFonts w:ascii="Arial" w:hAnsi="Arial"/>
          <w:sz w:val="28"/>
          <w:szCs w:val="28"/>
        </w:rPr>
        <w:tab/>
        <w:t xml:space="preserve"> </w:t>
      </w:r>
      <w:r w:rsidRPr="00150C86">
        <w:rPr>
          <w:rFonts w:ascii="Arial" w:hAnsi="Arial"/>
          <w:sz w:val="28"/>
          <w:szCs w:val="28"/>
        </w:rPr>
        <w:tab/>
      </w:r>
      <w:r w:rsidR="00A454E8">
        <w:rPr>
          <w:rFonts w:ascii="Arial" w:hAnsi="Arial"/>
          <w:sz w:val="28"/>
          <w:szCs w:val="28"/>
        </w:rPr>
        <w:t xml:space="preserve">   - </w:t>
      </w:r>
      <w:r w:rsidRPr="00150C86">
        <w:rPr>
          <w:rFonts w:ascii="Arial" w:hAnsi="Arial"/>
          <w:sz w:val="28"/>
          <w:szCs w:val="28"/>
        </w:rPr>
        <w:t xml:space="preserve">42.000,00 € </w:t>
      </w:r>
      <w:r w:rsidRPr="00150C86">
        <w:rPr>
          <w:rFonts w:ascii="Arial" w:hAnsi="Arial"/>
          <w:sz w:val="28"/>
          <w:szCs w:val="28"/>
        </w:rPr>
        <w:tab/>
      </w:r>
      <w:r>
        <w:rPr>
          <w:rFonts w:ascii="Arial" w:hAnsi="Arial"/>
          <w:sz w:val="28"/>
          <w:szCs w:val="28"/>
        </w:rPr>
        <w:tab/>
        <w:t xml:space="preserve"> </w:t>
      </w:r>
      <w:r w:rsidR="00A454E8">
        <w:rPr>
          <w:rFonts w:ascii="Arial" w:hAnsi="Arial"/>
          <w:sz w:val="28"/>
          <w:szCs w:val="28"/>
        </w:rPr>
        <w:t xml:space="preserve"> </w:t>
      </w:r>
      <w:r w:rsidR="00A454E8">
        <w:rPr>
          <w:rFonts w:ascii="Arial" w:hAnsi="Arial"/>
          <w:sz w:val="28"/>
          <w:szCs w:val="28"/>
        </w:rPr>
        <w:tab/>
        <w:t xml:space="preserve">        </w:t>
      </w:r>
      <w:r>
        <w:rPr>
          <w:rFonts w:ascii="Arial" w:hAnsi="Arial"/>
          <w:sz w:val="28"/>
          <w:szCs w:val="28"/>
        </w:rPr>
        <w:t xml:space="preserve"> </w:t>
      </w:r>
      <w:r w:rsidR="00A454E8">
        <w:rPr>
          <w:rFonts w:ascii="Arial" w:hAnsi="Arial"/>
          <w:sz w:val="28"/>
          <w:szCs w:val="28"/>
        </w:rPr>
        <w:t>0</w:t>
      </w:r>
      <w:r w:rsidRPr="00150C86">
        <w:rPr>
          <w:rFonts w:ascii="Arial" w:hAnsi="Arial"/>
          <w:sz w:val="28"/>
          <w:szCs w:val="28"/>
        </w:rPr>
        <w:t xml:space="preserve">,00 € </w:t>
      </w:r>
      <w:r w:rsidRPr="00150C86">
        <w:rPr>
          <w:rFonts w:ascii="Arial" w:hAnsi="Arial"/>
          <w:sz w:val="28"/>
          <w:szCs w:val="28"/>
        </w:rPr>
        <w:tab/>
      </w:r>
      <w:r w:rsidR="00A454E8">
        <w:rPr>
          <w:rFonts w:ascii="Arial" w:hAnsi="Arial"/>
          <w:sz w:val="28"/>
          <w:szCs w:val="28"/>
        </w:rPr>
        <w:tab/>
        <w:t>0,</w:t>
      </w:r>
      <w:r w:rsidRPr="00150C86">
        <w:rPr>
          <w:rFonts w:ascii="Arial" w:hAnsi="Arial"/>
          <w:sz w:val="28"/>
          <w:szCs w:val="28"/>
        </w:rPr>
        <w:t>00%</w:t>
      </w:r>
    </w:p>
    <w:p w:rsidR="00150C86" w:rsidRPr="00150C86" w:rsidRDefault="00150C86" w:rsidP="00150C86">
      <w:pPr>
        <w:rPr>
          <w:rFonts w:ascii="Arial" w:hAnsi="Arial"/>
          <w:sz w:val="28"/>
          <w:szCs w:val="28"/>
        </w:rPr>
      </w:pPr>
      <w:r w:rsidRPr="00150C86">
        <w:rPr>
          <w:rFonts w:ascii="Arial" w:hAnsi="Arial"/>
          <w:sz w:val="28"/>
          <w:szCs w:val="28"/>
        </w:rPr>
        <w:t xml:space="preserve"> 42.001,00 € </w:t>
      </w:r>
      <w:r w:rsidR="00A454E8">
        <w:rPr>
          <w:rFonts w:ascii="Arial" w:hAnsi="Arial"/>
          <w:sz w:val="28"/>
          <w:szCs w:val="28"/>
        </w:rPr>
        <w:t xml:space="preserve">- </w:t>
      </w:r>
      <w:r w:rsidRPr="00150C86">
        <w:rPr>
          <w:rFonts w:ascii="Arial" w:hAnsi="Arial"/>
          <w:sz w:val="28"/>
          <w:szCs w:val="28"/>
        </w:rPr>
        <w:t xml:space="preserve">75.000,00 € </w:t>
      </w:r>
      <w:r w:rsidRPr="00150C86">
        <w:rPr>
          <w:rFonts w:ascii="Arial" w:hAnsi="Arial"/>
          <w:sz w:val="28"/>
          <w:szCs w:val="28"/>
        </w:rPr>
        <w:tab/>
        <w:t xml:space="preserve"> </w:t>
      </w:r>
      <w:r w:rsidRPr="00150C86">
        <w:rPr>
          <w:rFonts w:ascii="Arial" w:hAnsi="Arial"/>
          <w:sz w:val="28"/>
          <w:szCs w:val="28"/>
        </w:rPr>
        <w:tab/>
      </w:r>
      <w:r w:rsidR="00A454E8">
        <w:rPr>
          <w:rFonts w:ascii="Arial" w:hAnsi="Arial"/>
          <w:sz w:val="28"/>
          <w:szCs w:val="28"/>
        </w:rPr>
        <w:t xml:space="preserve"> 63</w:t>
      </w:r>
      <w:r w:rsidRPr="00150C86">
        <w:rPr>
          <w:rFonts w:ascii="Arial" w:hAnsi="Arial"/>
          <w:sz w:val="28"/>
          <w:szCs w:val="28"/>
        </w:rPr>
        <w:t>,00</w:t>
      </w:r>
      <w:r w:rsidR="00A454E8">
        <w:rPr>
          <w:rFonts w:ascii="Arial" w:hAnsi="Arial"/>
          <w:sz w:val="28"/>
          <w:szCs w:val="28"/>
        </w:rPr>
        <w:t xml:space="preserve"> – 112,50</w:t>
      </w:r>
      <w:r w:rsidRPr="00150C86">
        <w:rPr>
          <w:rFonts w:ascii="Arial" w:hAnsi="Arial"/>
          <w:sz w:val="28"/>
          <w:szCs w:val="28"/>
        </w:rPr>
        <w:t xml:space="preserve"> € </w:t>
      </w:r>
      <w:r w:rsidRPr="00150C86">
        <w:rPr>
          <w:rFonts w:ascii="Arial" w:hAnsi="Arial"/>
          <w:sz w:val="28"/>
          <w:szCs w:val="28"/>
        </w:rPr>
        <w:tab/>
      </w:r>
      <w:r w:rsidR="00A454E8">
        <w:rPr>
          <w:rFonts w:ascii="Arial" w:hAnsi="Arial"/>
          <w:sz w:val="28"/>
          <w:szCs w:val="28"/>
        </w:rPr>
        <w:tab/>
      </w:r>
      <w:r w:rsidRPr="00150C86">
        <w:rPr>
          <w:rFonts w:ascii="Arial" w:hAnsi="Arial"/>
          <w:sz w:val="28"/>
          <w:szCs w:val="28"/>
        </w:rPr>
        <w:t>1,50%</w:t>
      </w:r>
    </w:p>
    <w:p w:rsidR="00150C86" w:rsidRDefault="00150C86" w:rsidP="00150C86">
      <w:pPr>
        <w:rPr>
          <w:rFonts w:ascii="Arial" w:hAnsi="Arial"/>
          <w:sz w:val="28"/>
          <w:szCs w:val="28"/>
        </w:rPr>
      </w:pPr>
      <w:r w:rsidRPr="00150C86">
        <w:rPr>
          <w:rFonts w:ascii="Arial" w:hAnsi="Arial"/>
          <w:sz w:val="28"/>
          <w:szCs w:val="28"/>
        </w:rPr>
        <w:t xml:space="preserve">ab 75.001,00 € </w:t>
      </w:r>
      <w:r w:rsidRPr="00150C86">
        <w:rPr>
          <w:rFonts w:ascii="Arial" w:hAnsi="Arial"/>
          <w:sz w:val="28"/>
          <w:szCs w:val="28"/>
        </w:rPr>
        <w:tab/>
      </w:r>
      <w:r w:rsidRPr="00150C86">
        <w:rPr>
          <w:rFonts w:ascii="Arial" w:hAnsi="Arial"/>
          <w:sz w:val="28"/>
          <w:szCs w:val="28"/>
        </w:rPr>
        <w:tab/>
        <w:t xml:space="preserve"> </w:t>
      </w:r>
      <w:r w:rsidRPr="00150C86">
        <w:rPr>
          <w:rFonts w:ascii="Arial" w:hAnsi="Arial"/>
          <w:sz w:val="28"/>
          <w:szCs w:val="28"/>
        </w:rPr>
        <w:tab/>
      </w:r>
      <w:r w:rsidRPr="00150C86">
        <w:rPr>
          <w:rFonts w:ascii="Arial" w:hAnsi="Arial"/>
          <w:sz w:val="28"/>
          <w:szCs w:val="28"/>
        </w:rPr>
        <w:tab/>
      </w:r>
      <w:r>
        <w:rPr>
          <w:rFonts w:ascii="Arial" w:hAnsi="Arial"/>
          <w:sz w:val="28"/>
          <w:szCs w:val="28"/>
        </w:rPr>
        <w:tab/>
      </w:r>
      <w:r w:rsidR="00A454E8">
        <w:rPr>
          <w:rFonts w:ascii="Arial" w:hAnsi="Arial"/>
          <w:sz w:val="28"/>
          <w:szCs w:val="28"/>
        </w:rPr>
        <w:t xml:space="preserve">     131,25 €</w:t>
      </w:r>
      <w:r w:rsidR="00A454E8">
        <w:rPr>
          <w:rFonts w:ascii="Arial" w:hAnsi="Arial"/>
          <w:sz w:val="28"/>
          <w:szCs w:val="28"/>
        </w:rPr>
        <w:tab/>
      </w:r>
      <w:r>
        <w:rPr>
          <w:rFonts w:ascii="Arial" w:hAnsi="Arial"/>
          <w:sz w:val="28"/>
          <w:szCs w:val="28"/>
        </w:rPr>
        <w:tab/>
      </w:r>
      <w:r w:rsidRPr="00150C86">
        <w:rPr>
          <w:rFonts w:ascii="Arial" w:hAnsi="Arial"/>
          <w:sz w:val="28"/>
          <w:szCs w:val="28"/>
        </w:rPr>
        <w:t>1,75%</w:t>
      </w:r>
    </w:p>
    <w:p w:rsidR="002C3C9B" w:rsidRPr="00150C86" w:rsidRDefault="002C3C9B" w:rsidP="00150C86">
      <w:pPr>
        <w:rPr>
          <w:rFonts w:ascii="Arial" w:hAnsi="Arial"/>
          <w:sz w:val="28"/>
          <w:szCs w:val="28"/>
        </w:rPr>
      </w:pPr>
      <w:r>
        <w:rPr>
          <w:rFonts w:ascii="Arial" w:hAnsi="Arial"/>
          <w:sz w:val="28"/>
          <w:szCs w:val="28"/>
        </w:rPr>
        <w:t>bis zum max. Monatsbeitrag</w:t>
      </w:r>
      <w:r>
        <w:rPr>
          <w:rFonts w:ascii="Arial" w:hAnsi="Arial"/>
          <w:sz w:val="28"/>
          <w:szCs w:val="28"/>
        </w:rPr>
        <w:tab/>
        <w:t>von</w:t>
      </w:r>
      <w:r>
        <w:rPr>
          <w:rFonts w:ascii="Arial" w:hAnsi="Arial"/>
          <w:sz w:val="28"/>
          <w:szCs w:val="28"/>
        </w:rPr>
        <w:tab/>
      </w:r>
      <w:r>
        <w:rPr>
          <w:rFonts w:ascii="Arial" w:hAnsi="Arial"/>
          <w:sz w:val="28"/>
          <w:szCs w:val="28"/>
        </w:rPr>
        <w:tab/>
      </w:r>
      <w:r w:rsidR="00A454E8">
        <w:rPr>
          <w:rFonts w:ascii="Arial" w:hAnsi="Arial"/>
          <w:sz w:val="28"/>
          <w:szCs w:val="28"/>
        </w:rPr>
        <w:t xml:space="preserve">     </w:t>
      </w:r>
      <w:r w:rsidR="00953B93">
        <w:rPr>
          <w:rFonts w:ascii="Arial" w:hAnsi="Arial"/>
          <w:sz w:val="28"/>
          <w:szCs w:val="28"/>
        </w:rPr>
        <w:t xml:space="preserve">225,00 </w:t>
      </w:r>
      <w:bookmarkStart w:id="1" w:name="_GoBack"/>
      <w:bookmarkEnd w:id="1"/>
      <w:r w:rsidR="00953B93">
        <w:rPr>
          <w:rFonts w:ascii="Arial" w:hAnsi="Arial"/>
          <w:sz w:val="28"/>
          <w:szCs w:val="28"/>
        </w:rPr>
        <w:t>€</w:t>
      </w:r>
      <w:r>
        <w:rPr>
          <w:rFonts w:ascii="Arial" w:hAnsi="Arial"/>
          <w:sz w:val="28"/>
          <w:szCs w:val="28"/>
        </w:rPr>
        <w:tab/>
      </w:r>
      <w:r>
        <w:rPr>
          <w:rFonts w:ascii="Arial" w:hAnsi="Arial"/>
          <w:sz w:val="28"/>
          <w:szCs w:val="28"/>
        </w:rPr>
        <w:tab/>
      </w:r>
    </w:p>
    <w:sectPr w:rsidR="002C3C9B" w:rsidRPr="00150C86">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3D7"/>
    <w:multiLevelType w:val="multilevel"/>
    <w:tmpl w:val="A3300D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B77755"/>
    <w:multiLevelType w:val="multilevel"/>
    <w:tmpl w:val="6E02E524"/>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29"/>
    <w:rsid w:val="00150C86"/>
    <w:rsid w:val="00244529"/>
    <w:rsid w:val="002C3C9B"/>
    <w:rsid w:val="00376E18"/>
    <w:rsid w:val="00517C32"/>
    <w:rsid w:val="00953B93"/>
    <w:rsid w:val="00A454E8"/>
    <w:rsid w:val="00BB585A"/>
    <w:rsid w:val="00C95CEE"/>
    <w:rsid w:val="00CD19BF"/>
    <w:rsid w:val="00D62F92"/>
    <w:rsid w:val="00E96571"/>
    <w:rsid w:val="00ED24E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941C8-98CB-4D80-AE3F-A43FA33B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A243BA"/>
    <w:rPr>
      <w:rFonts w:ascii="Arial" w:eastAsia="Times New Roman" w:hAnsi="Arial" w:cs="Times New Roman"/>
      <w:lang w:eastAsia="ar-SA"/>
    </w:rPr>
  </w:style>
  <w:style w:type="character" w:customStyle="1" w:styleId="Nummerierungszeichen">
    <w:name w:val="Nummerierungszeichen"/>
    <w:qFormat/>
    <w:rPr>
      <w:rFonts w:ascii="Arial" w:hAnsi="Arial"/>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A243BA"/>
    <w:pPr>
      <w:widowControl w:val="0"/>
      <w:tabs>
        <w:tab w:val="center" w:pos="4536"/>
        <w:tab w:val="right" w:pos="9072"/>
      </w:tabs>
      <w:suppressAutoHyphens/>
      <w:spacing w:after="0" w:line="240" w:lineRule="auto"/>
      <w:textAlignment w:val="baseline"/>
    </w:pPr>
    <w:rPr>
      <w:rFonts w:ascii="Arial" w:eastAsia="Times New Roman" w:hAnsi="Arial" w:cs="Times New Roman"/>
      <w:lang w:eastAsia="ar-SA"/>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dc:description/>
  <cp:lastModifiedBy>Fragesch</cp:lastModifiedBy>
  <cp:revision>4</cp:revision>
  <cp:lastPrinted>2019-11-15T15:41:00Z</cp:lastPrinted>
  <dcterms:created xsi:type="dcterms:W3CDTF">2019-11-27T12:05:00Z</dcterms:created>
  <dcterms:modified xsi:type="dcterms:W3CDTF">2019-11-27T13:41:00Z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